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354E" w14:textId="77777777" w:rsidR="0024116E" w:rsidRDefault="0024116E" w:rsidP="002411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</w:p>
    <w:p w14:paraId="71C6A7F5" w14:textId="77777777" w:rsidR="0024116E" w:rsidRDefault="0024116E" w:rsidP="002411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6D264BCD" w14:textId="77777777" w:rsidR="0024116E" w:rsidRDefault="0024116E" w:rsidP="002411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7EF47588" w14:textId="77777777" w:rsidR="0024116E" w:rsidRDefault="0024116E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  <w:bookmarkStart w:id="0" w:name="_GoBack"/>
      <w:bookmarkEnd w:id="0"/>
    </w:p>
    <w:p w14:paraId="5EA204EB" w14:textId="77777777" w:rsidR="0024116E" w:rsidRDefault="0024116E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  <w:highlight w:val="yellow"/>
        </w:rPr>
      </w:pPr>
    </w:p>
    <w:p w14:paraId="742CE497" w14:textId="034DE6F5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51F68BCC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2ª ed. São Paulo: Editora Contexto, 2015.</w:t>
      </w:r>
    </w:p>
    <w:p w14:paraId="7A5DEF5E" w14:textId="78F7F6F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BC9CE9F" w14:textId="3FFE8563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Exemplo:</w:t>
      </w:r>
    </w:p>
    <w:p w14:paraId="224FFF28" w14:textId="77777777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268E6D1" w14:textId="19E7D2D1" w:rsidR="00C50C4E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aprendizagem da língua materna, quer escrita, quer oral, é um processo permanente, nunca interrompido. Entretanto, é preciso diferenciar um processo de aquisição da língua (oral e escrita) de um processo de desenvolvimento da língua (oral e escrita); este último é que, sem dúvida, nunca é interrompido”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15)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0B994B3E" w14:textId="77777777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BC9E8F0" w14:textId="5FCA7D24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alfabetização é um processo de representação de fonemas em grafemas, e vice-versa, mas é também um processo de compreensão/expressão de significados por meio do código escrito”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16)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771AB30E" w14:textId="56541BA4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73B550A5" w14:textId="2FA65FEB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uma teoria coerente da alfabetização deverá basear-se em um conceito desse processo suficientemente abrangente para incluir a abordagem “mecânica” do ler/escrever, o enfoque da língua escrita como um meio de expressão/compreensão, com especificidade e autonomia em relação à língua oral, e, ainda, os determinantes sociais das funções e fins da aprendizagem da língua escrita”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18)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1CBA76D7" w14:textId="386DDFF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A36A421" w14:textId="770A8A18" w:rsidR="003E4916" w:rsidRPr="00C50C4E" w:rsidRDefault="003E4916" w:rsidP="003E49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Neste tipo de gênero, apenas se seleciona o que o autor disse, sem comentários ou inserções.</w:t>
      </w:r>
    </w:p>
    <w:sectPr w:rsidR="003E4916" w:rsidRPr="00C50C4E" w:rsidSect="00E112B9"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5655" w14:textId="77777777" w:rsidR="00BC7AFA" w:rsidRDefault="00BC7AFA" w:rsidP="00423FF1">
      <w:pPr>
        <w:spacing w:after="0" w:line="240" w:lineRule="auto"/>
      </w:pPr>
      <w:r>
        <w:separator/>
      </w:r>
    </w:p>
  </w:endnote>
  <w:endnote w:type="continuationSeparator" w:id="0">
    <w:p w14:paraId="41E9D780" w14:textId="77777777" w:rsidR="00BC7AFA" w:rsidRDefault="00BC7AFA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0B823" w14:textId="77777777" w:rsidR="00BC7AFA" w:rsidRDefault="00BC7AFA" w:rsidP="00423FF1">
      <w:pPr>
        <w:spacing w:after="0" w:line="240" w:lineRule="auto"/>
      </w:pPr>
      <w:r>
        <w:separator/>
      </w:r>
    </w:p>
  </w:footnote>
  <w:footnote w:type="continuationSeparator" w:id="0">
    <w:p w14:paraId="4CE32A1B" w14:textId="77777777" w:rsidR="00BC7AFA" w:rsidRDefault="00BC7AFA" w:rsidP="00423FF1">
      <w:pPr>
        <w:spacing w:after="0" w:line="240" w:lineRule="auto"/>
      </w:pPr>
      <w:r>
        <w:continuationSeparator/>
      </w:r>
    </w:p>
  </w:footnote>
  <w:footnote w:id="1">
    <w:p w14:paraId="7136E397" w14:textId="77777777" w:rsidR="0024116E" w:rsidRPr="00AF3F6B" w:rsidRDefault="0024116E" w:rsidP="0024116E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14:paraId="61C61C41" w14:textId="77777777" w:rsidR="0024116E" w:rsidRPr="00AF3F6B" w:rsidRDefault="0024116E" w:rsidP="0024116E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5F46" w14:textId="77777777" w:rsidR="00E112B9" w:rsidRPr="00FB187D" w:rsidRDefault="00E112B9" w:rsidP="00E112B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4116AC" wp14:editId="640F940E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ascii="Times New Roman" w:hAnsi="Times New Roman" w:cs="Times New Roman"/>
        <w:b/>
        <w:sz w:val="24"/>
        <w:szCs w:val="24"/>
      </w:rPr>
      <w:t>Centro Universitário de Goiás – U</w:t>
    </w:r>
    <w:r>
      <w:rPr>
        <w:rFonts w:ascii="Times New Roman" w:hAnsi="Times New Roman" w:cs="Times New Roman"/>
        <w:b/>
        <w:sz w:val="24"/>
        <w:szCs w:val="24"/>
      </w:rPr>
      <w:t>NIGOIÁS</w:t>
    </w:r>
  </w:p>
  <w:p w14:paraId="1BA2C285" w14:textId="77777777" w:rsidR="00E112B9" w:rsidRPr="00FB187D" w:rsidRDefault="00E112B9" w:rsidP="00E112B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Pró-</w:t>
    </w:r>
    <w:r>
      <w:rPr>
        <w:rFonts w:ascii="Times New Roman" w:hAnsi="Times New Roman" w:cs="Times New Roman"/>
        <w:b/>
        <w:sz w:val="24"/>
        <w:szCs w:val="24"/>
      </w:rPr>
      <w:t>R</w:t>
    </w:r>
    <w:r w:rsidRPr="00FB187D">
      <w:rPr>
        <w:rFonts w:ascii="Times New Roman" w:hAnsi="Times New Roman" w:cs="Times New Roman"/>
        <w:b/>
        <w:sz w:val="24"/>
        <w:szCs w:val="24"/>
      </w:rPr>
      <w:t>eitora de Ensino Presencial – PROEP</w:t>
    </w:r>
  </w:p>
  <w:p w14:paraId="4E0D23BC" w14:textId="77777777" w:rsidR="00E112B9" w:rsidRPr="00FB187D" w:rsidRDefault="00E112B9" w:rsidP="00E112B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Supervisão da Área de Pesquisa Científica - SAPC</w:t>
    </w:r>
  </w:p>
  <w:p w14:paraId="6920BEB5" w14:textId="77777777" w:rsidR="00E112B9" w:rsidRPr="00FB187D" w:rsidRDefault="00E112B9" w:rsidP="00E112B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187D"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116E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E4916"/>
    <w:rsid w:val="003F6B22"/>
    <w:rsid w:val="0041433C"/>
    <w:rsid w:val="00423FF1"/>
    <w:rsid w:val="004340A0"/>
    <w:rsid w:val="00435C5A"/>
    <w:rsid w:val="00444D2B"/>
    <w:rsid w:val="00452CE6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46A6"/>
    <w:rsid w:val="00605B75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C7AFA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83EBD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368C"/>
    <w:rsid w:val="00E112B9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D165-A16D-48D8-9669-A732B9E9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5</cp:revision>
  <dcterms:created xsi:type="dcterms:W3CDTF">2020-02-06T13:11:00Z</dcterms:created>
  <dcterms:modified xsi:type="dcterms:W3CDTF">2020-08-03T12:25:00Z</dcterms:modified>
</cp:coreProperties>
</file>